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EAD" w:rsidRPr="00F34EAD" w:rsidRDefault="00F34EAD" w:rsidP="00F34EA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ТЕХНІЧНЕ ЗАВДАННЯ №1</w:t>
      </w:r>
    </w:p>
    <w:p w:rsidR="00F34EAD" w:rsidRPr="00F34EAD" w:rsidRDefault="00F34EAD" w:rsidP="00F34EAD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 розроблення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проєктних</w:t>
      </w:r>
      <w:proofErr w:type="spellEnd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рішень щодо реконструкції, технічної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укріпленості</w:t>
      </w:r>
      <w:proofErr w:type="spellEnd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інженерного забезпечення приміщень ПЦС</w:t>
      </w:r>
    </w:p>
    <w:p w:rsidR="00F34EAD" w:rsidRPr="00F34EAD" w:rsidRDefault="00F34EAD" w:rsidP="00F34E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відповідно до ДСТУ EN 50518:2019, категорія I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1. Мета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проєктування</w:t>
      </w:r>
      <w:proofErr w:type="spellEnd"/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Розробити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проєктні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bookmarkStart w:id="0" w:name="_GoBack"/>
      <w:bookmarkEnd w:id="0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реконструкції існуючих напівпідвальних приміщень для створення </w:t>
      </w:r>
      <w:r w:rsidRPr="0015437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Пункту централізованого спостереження (ПЦС/ЦСПТС) категорії I</w:t>
      </w:r>
      <w:r w:rsidRPr="001543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у частині будівельних конструкцій, технічної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укріпленості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інженерного забезпечення відповідатиме вимогам ДСТУ EN 50518:2019.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Проєктна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документація повинна:</w:t>
      </w:r>
    </w:p>
    <w:p w:rsidR="00F34EAD" w:rsidRPr="00F34EAD" w:rsidRDefault="00F34EAD" w:rsidP="00F34EA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бути достатньою для виконання відповідних будівельно-монтажних та інженерних робіт; </w:t>
      </w:r>
    </w:p>
    <w:p w:rsidR="00F34EAD" w:rsidRPr="00F34EAD" w:rsidRDefault="00F34EAD" w:rsidP="00F34EA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визначати фактичні характеристики технічної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укріпленості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ПЦС; </w:t>
      </w:r>
    </w:p>
    <w:p w:rsidR="00F34EAD" w:rsidRPr="00F34EAD" w:rsidRDefault="00F34EAD" w:rsidP="00F34EA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дозволяти документально підтвердити виконання відповідних вимог ДСТУ EN 50518:2019 під час сертифікації ПЦС; </w:t>
      </w:r>
    </w:p>
    <w:p w:rsidR="00F34EAD" w:rsidRDefault="00F34EAD" w:rsidP="00F34EA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створити необхідну інфраструктуру для подальшого технологічного оснащення ПЦС системами безпеки, зв'язку, IT-обладнанням та автоматизованими робочими місцями. </w:t>
      </w:r>
    </w:p>
    <w:p w:rsidR="00F34EAD" w:rsidRPr="00F34EAD" w:rsidRDefault="00F34EAD" w:rsidP="00F34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Анкета ОС прямо передбачає подання аргументованих документів і схем, що підтверджують фактичний технічний стан ПЦС.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2. Вихідні дані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здійснюється для існуючих напівпідвальних приміщень.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Передбачається розміщення в межах ПЦС:</w:t>
      </w:r>
    </w:p>
    <w:p w:rsidR="00F34EAD" w:rsidRPr="00F34EAD" w:rsidRDefault="00F34EAD" w:rsidP="00F34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операторського приміщення орієнтовною площею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 м²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розрахованого на розміщення до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 робочих місць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окремого серверного/технологічного приміщення; </w:t>
      </w:r>
    </w:p>
    <w:p w:rsidR="00F34EAD" w:rsidRPr="00F34EAD" w:rsidRDefault="00F34EAD" w:rsidP="00F34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вхідного тамбур-шлюзу; </w:t>
      </w:r>
    </w:p>
    <w:p w:rsidR="00F34EAD" w:rsidRDefault="00F34EAD" w:rsidP="00F34EA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санвузла та мийних зручностей. </w:t>
      </w:r>
    </w:p>
    <w:p w:rsidR="00F34EAD" w:rsidRPr="00F34EAD" w:rsidRDefault="00F34EAD" w:rsidP="00F34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Конкретне технологічне оснащення операторської та серверної не є предметом цього ТЗ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однак </w:t>
      </w:r>
      <w:proofErr w:type="spellStart"/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проєктні</w:t>
      </w:r>
      <w:proofErr w:type="spellEnd"/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 повинні забезпечити можливість його подальшого встановлення.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 Обстеження існуючих приміщень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початку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Виконавцю провести натурне обстеження: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геометричних параметрів приміщень;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стін, підлоги та перекриття;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матеріалів і товщини конструкцій;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дверних та віконних прорізів;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існуючих інженерних мереж;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систем електропостачання;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вентиляційних каналів;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можливих кабельних вводів;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існуючих шляхів евакуації; </w:t>
      </w:r>
    </w:p>
    <w:p w:rsidR="00F34EAD" w:rsidRPr="00F34EAD" w:rsidRDefault="00F34EAD" w:rsidP="00F34EA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можливості облаштування тамбур-шлюзу та аварійного виходу.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За результатами обстеження визначити </w:t>
      </w: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які існуючі конструкції можуть бути використані без змін, які потребують посилення, а які — заміни або реконструкції.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4. Розташування ПЦС та межі захищеної оболонки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Розробити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схему розташування приміщень ПЦС на поверховому плані будівлі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чітким позначенням: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меж захищеної оболонки;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операторської;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серверного/технологічного приміщення;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тамбур-шлюзу;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санвузла;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основного входу;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аварійного виходу; </w:t>
      </w:r>
    </w:p>
    <w:p w:rsidR="00F34EAD" w:rsidRP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існуючих і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запроєктованих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прорізів; </w:t>
      </w:r>
    </w:p>
    <w:p w:rsidR="00F34EAD" w:rsidRDefault="00F34EAD" w:rsidP="00F34E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суміжних приміщень. </w:t>
      </w:r>
    </w:p>
    <w:p w:rsidR="00F34EAD" w:rsidRPr="00F34EAD" w:rsidRDefault="00F34EAD" w:rsidP="00F34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Саме таку схему анкета ОС визначає як </w:t>
      </w:r>
      <w:r w:rsidRPr="00F34EA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Додаток №1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5. Стіни захищеної оболонки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забезпечити відповідність стін оболонки ПЦС та стін тамбур-шлюзу вимогам категорії I.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Анкета ОС передбачає:</w:t>
      </w:r>
    </w:p>
    <w:p w:rsidR="00F34EAD" w:rsidRPr="00F34EAD" w:rsidRDefault="00F34EAD" w:rsidP="00F34EA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суцільну кладку 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200 мм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литий бетон 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150 мм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залізобетон 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100 мм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тверду сталь 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8 мм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Проєктант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повинен визначити фактичні характеристики існуючих стін.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вони не відповідають вимогам — розробити </w:t>
      </w: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конструктивне рішення щодо їх посилення або створення нової захищеної конструкції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Підлога та стеля/перекриття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Перевірити конструкцію підлоги та стелі захищеної оболонки.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Для категорії I анкета ОС передбачає:</w:t>
      </w:r>
    </w:p>
    <w:p w:rsidR="00F34EAD" w:rsidRPr="00F34EAD" w:rsidRDefault="00F34EAD" w:rsidP="00F34EA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литий бетон ≥150 мм; </w:t>
      </w:r>
    </w:p>
    <w:p w:rsidR="00F34EAD" w:rsidRPr="00F34EAD" w:rsidRDefault="00F34EAD" w:rsidP="00F34EA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залізобетон ≥100 мм; </w:t>
      </w:r>
    </w:p>
    <w:p w:rsidR="00F34EAD" w:rsidRPr="00F34EAD" w:rsidRDefault="00F34EAD" w:rsidP="00F34EA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тверду сталь ≥8 мм.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невідповідності розробити рішення щодо посилення.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Вогнестійкість захищеної оболонки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Забезпечити вогнестійкість оболонки ПЦС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30 хв відповідно до EN 13501-2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Проєктними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рішеннями забезпечити збереження необхідної вогнестійкості після виконання:</w:t>
      </w:r>
    </w:p>
    <w:p w:rsidR="00F34EAD" w:rsidRPr="00F34EAD" w:rsidRDefault="00F34EAD" w:rsidP="00F34EA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дверних прорізів; </w:t>
      </w:r>
    </w:p>
    <w:p w:rsidR="00F34EAD" w:rsidRPr="00F34EAD" w:rsidRDefault="00F34EAD" w:rsidP="00F34EA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вентиляційних проходок; </w:t>
      </w:r>
    </w:p>
    <w:p w:rsidR="00F34EAD" w:rsidRPr="00F34EAD" w:rsidRDefault="00F34EAD" w:rsidP="00F34EA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кабельних вводів; </w:t>
      </w:r>
    </w:p>
    <w:p w:rsidR="00F34EAD" w:rsidRPr="00F34EAD" w:rsidRDefault="00F34EAD" w:rsidP="00F34EA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трубних проходок; </w:t>
      </w:r>
    </w:p>
    <w:p w:rsidR="00F34EAD" w:rsidRPr="00F34EAD" w:rsidRDefault="00F34EAD" w:rsidP="00F34EA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інших допустимих отворів.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8. Вікна та засклені ділянки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Проєктувальнику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оцінити існуючі віконні прорізи та визначити оптимальне рішення: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закладання прорізу або приведення його до характеристик категорії I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збереження вікна/заскленої ділянки необхідно забезпечити передбачені анкетою характеристики:</w:t>
      </w:r>
    </w:p>
    <w:p w:rsidR="00F34EAD" w:rsidRPr="00F34EAD" w:rsidRDefault="00F34EAD" w:rsidP="00F34E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конструкція — RC3 за EN 1627; </w:t>
      </w:r>
    </w:p>
    <w:p w:rsidR="00F34EAD" w:rsidRPr="00F34EAD" w:rsidRDefault="00F34EAD" w:rsidP="00F34E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кулетривкість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— FB3 за EN 1522; </w:t>
      </w:r>
    </w:p>
    <w:p w:rsidR="00F34EAD" w:rsidRPr="00F34EAD" w:rsidRDefault="00F34EAD" w:rsidP="00F34E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скління — P5A за EN 356; </w:t>
      </w:r>
    </w:p>
    <w:p w:rsidR="00F34EAD" w:rsidRPr="00F34EAD" w:rsidRDefault="00F34EAD" w:rsidP="00F34E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кулетривкість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скління — BR3-S за EN 1063; </w:t>
      </w:r>
    </w:p>
    <w:p w:rsidR="00F34EAD" w:rsidRPr="00F34EAD" w:rsidRDefault="00F34EAD" w:rsidP="00F34EA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необхідну вогнестійкість.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проєктне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повинно забезпечити, щоб </w:t>
      </w: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внутрішній простір ПЦС не проглядався ззовні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9. Допустимі отвори в оболонці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проєктуванні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мінімізувати кількість отворів у захищеній оболонці.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ДСТУ визначає як допустимі: засклені ділянки, вхід, аварійний вихід, вентиляцію, сервісні входи/виходи та передавальний люк/жолоб.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 передбачати неврахованих технологічних отворів, ніш або проходок, які порушують цілісність захищеної оболонки.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10. Вхідний тамбур-шлюз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Основний вхід до ПЦС виконати через </w:t>
      </w: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тамбур-шлюз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Передбачити: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площу підлоги </w:t>
      </w: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 більше 6 м²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двоє послідовних дверей; 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відкривання дверей назовні; 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взаємоблокування; 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конструктивну можливість встановлення автоматичних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самозачинних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пристроїв; </w:t>
      </w:r>
    </w:p>
    <w:p w:rsidR="00F34EAD" w:rsidRPr="00F34EAD" w:rsidRDefault="00F34EAD" w:rsidP="00F34EA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встановлення електромеханічного замикання.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ДСТУ прямо встановлює площу тамбура не більше 6 м² і взаємоблокування дверей.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Внутрішні двері повинні мати вогнестійкість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менше 30 хв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Зовнішні двері оболонки:</w:t>
      </w:r>
    </w:p>
    <w:p w:rsidR="00F34EAD" w:rsidRPr="00F34EAD" w:rsidRDefault="00F34EAD" w:rsidP="00F34EA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RC3 за EN 1627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FB3 за EN 1522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СКД, алгоритм взаємоблокування та електронне керування дверима будуть деталізовані в ТЗ №2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 але будівельна частина повинна забезпечити можливість їх монтажу.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11. Аварійний вихід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 аварійний вихід із захищеної оболонки.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Двері повинні:</w:t>
      </w:r>
    </w:p>
    <w:p w:rsidR="00F34EAD" w:rsidRPr="00F34EAD" w:rsidRDefault="00F34EAD" w:rsidP="00F34EA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відкриватися назовні; </w:t>
      </w:r>
    </w:p>
    <w:p w:rsidR="00F34EAD" w:rsidRPr="00F34EAD" w:rsidRDefault="00F34EAD" w:rsidP="00F34EA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забезпечувати евакуацію без необхідності доступу ззовні; </w:t>
      </w:r>
    </w:p>
    <w:p w:rsidR="00F34EAD" w:rsidRPr="00F34EAD" w:rsidRDefault="00F34EAD" w:rsidP="007B0B2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мати конструктивну можливість встановлення пристроїв аварійного відмикання відповідно до EN 179, EN 1125 або EN 13637. </w:t>
      </w:r>
    </w:p>
    <w:p w:rsidR="00F34EAD" w:rsidRPr="00F34EAD" w:rsidRDefault="00F34EAD" w:rsidP="007B0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Розташування аварійного виходу узгодити з вимогами пожежної та евакуаційної безпеки.</w:t>
      </w:r>
    </w:p>
    <w:p w:rsidR="00F34EAD" w:rsidRPr="00F34EAD" w:rsidRDefault="00F34EAD" w:rsidP="007B0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7B0B2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12. Передавальний люк/жолоб</w:t>
      </w:r>
    </w:p>
    <w:p w:rsidR="007B0B29" w:rsidRPr="007B0B29" w:rsidRDefault="007B0B29" w:rsidP="007B0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Передбачити в конструкції захищеної оболонки </w:t>
      </w:r>
      <w:r w:rsidR="003B6FE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ПЦС передавальний люк або жолоб</w:t>
      </w:r>
      <w:r w:rsidRPr="007B0B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7B0B29" w:rsidRPr="007B0B29" w:rsidRDefault="007B0B29" w:rsidP="007B0B2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Конструкція люка/жолоба повинна: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знаходитися в межах захищеної оболонки ПЦС; 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забезпечувати клас тривкості до фізичного нападу </w:t>
      </w:r>
      <w:r w:rsidRPr="007B0B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RC3 згідно EN 1627</w:t>
      </w: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забезпечувати клас </w:t>
      </w:r>
      <w:proofErr w:type="spellStart"/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>кулетривкості</w:t>
      </w:r>
      <w:proofErr w:type="spellEnd"/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0B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FB3 згідно EN 1522</w:t>
      </w: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унеможливлювати прямий доступ через отвір до внутрішнього простору ПЦС; 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забезпечувати керування відкриванням та закриванням зсередини ПЦС; </w:t>
      </w:r>
    </w:p>
    <w:p w:rsidR="007B0B29" w:rsidRPr="007B0B29" w:rsidRDefault="007B0B29" w:rsidP="007B0B29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0B29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забезпечувати можливість встановлення системи голосового зв’язку між операторською робочою зоною ПЦС та зовнішнім боком люка/жолоба.</w:t>
      </w:r>
    </w:p>
    <w:p w:rsidR="00F34EAD" w:rsidRPr="00F34EAD" w:rsidRDefault="00F34EAD" w:rsidP="007B0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7B0B2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13. Вентиляція та кондиціонування</w:t>
      </w:r>
    </w:p>
    <w:p w:rsidR="00F34EAD" w:rsidRPr="00F34EAD" w:rsidRDefault="00F34EAD" w:rsidP="007B0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Розробити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вентиляції та кондиціонування з урахуванням:</w:t>
      </w:r>
    </w:p>
    <w:p w:rsidR="00F34EAD" w:rsidRPr="00F34EAD" w:rsidRDefault="00F34EAD" w:rsidP="007B0B2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цілодобового режиму роботи; </w:t>
      </w:r>
    </w:p>
    <w:p w:rsidR="00F34EAD" w:rsidRPr="00F34EAD" w:rsidRDefault="00F34EAD" w:rsidP="007B0B2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одночасного перебування до 5 операторів; </w:t>
      </w:r>
    </w:p>
    <w:p w:rsidR="00F34EAD" w:rsidRPr="00F34EAD" w:rsidRDefault="00F34EAD" w:rsidP="00F34EA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тепловиділення робочих станцій; </w:t>
      </w:r>
    </w:p>
    <w:p w:rsidR="00F34EAD" w:rsidRPr="00F34EAD" w:rsidRDefault="00F34EAD" w:rsidP="00F34EA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тепловиділення серверного та телекомунікаційного обладнання; </w:t>
      </w:r>
    </w:p>
    <w:p w:rsidR="00F34EAD" w:rsidRPr="00F34EAD" w:rsidRDefault="00F34EAD" w:rsidP="00F34EA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напівпідвального розташування приміщення.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Передбачити: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необхідний приплив і видалення повітря; 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підтримання нормативного мікроклімату; 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кондиціонування операторської; 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окреме або інше технічно обґрунтоване забезпечення температурного режиму серверного приміщення; 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керування вентиляцією зсередини ПЦС; </w:t>
      </w:r>
    </w:p>
    <w:p w:rsidR="00F34EAD" w:rsidRPr="00F34EAD" w:rsidRDefault="00F34EAD" w:rsidP="00F34EA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герметичні заслінки</w:t>
      </w:r>
      <w:r w:rsidRPr="00F34E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можуть бути закриті вручну зсередини ПЦС або автоматично при надходженні газу чи диму.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площа перетину вентиляційного отвору перевищує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0,02 м²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конструкція повинна забезпечувати можливість його сигналізаційного контролю.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Розташування зовнішніх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повітрозабірних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/витяжних елементів визначити таким чином, щоб мінімізувати можливість їх навмисного перекриття, пошкодження або іншого зовнішнього впливу.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Рекуперація не є окремою вимогою ДСТУ і застосовується лише за технічним рішенням </w:t>
      </w:r>
      <w:proofErr w:type="spellStart"/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проєктувальника</w:t>
      </w:r>
      <w:proofErr w:type="spellEnd"/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14. Кабельні та трубні проходки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 місця проходження:</w:t>
      </w:r>
    </w:p>
    <w:p w:rsidR="00F34EAD" w:rsidRPr="00F34EAD" w:rsidRDefault="00F34EAD" w:rsidP="00F34E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силових кабелів; </w:t>
      </w:r>
    </w:p>
    <w:p w:rsidR="00F34EAD" w:rsidRPr="00F34EAD" w:rsidRDefault="00F34EAD" w:rsidP="00F34E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слабкострумових кабелів; </w:t>
      </w:r>
    </w:p>
    <w:p w:rsidR="00F34EAD" w:rsidRPr="00F34EAD" w:rsidRDefault="00F34EAD" w:rsidP="00F34E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телекомунікацій; </w:t>
      </w:r>
    </w:p>
    <w:p w:rsidR="00F34EAD" w:rsidRPr="00F34EAD" w:rsidRDefault="00F34EAD" w:rsidP="00F34E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вентиляційних комунікацій; </w:t>
      </w:r>
    </w:p>
    <w:p w:rsidR="00F34EAD" w:rsidRPr="00F34EAD" w:rsidRDefault="00F34EAD" w:rsidP="00F34EA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інших необхідних інженерних мереж.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Отвори для службових кабелів і труб в оболонці:</w:t>
      </w:r>
    </w:p>
    <w:p w:rsidR="00F34EAD" w:rsidRPr="00F34EAD" w:rsidRDefault="00F34EAD" w:rsidP="00F34EA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площа поперечного перетину —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більше 0,02 м²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Default="00F34EAD" w:rsidP="00F34EA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прокладання комунікацій повинні бути заповнені відповідним вогнетривким матеріалом для мінімізації поширення вогню та диму. </w:t>
      </w:r>
    </w:p>
    <w:p w:rsidR="00F34EAD" w:rsidRPr="00F34EAD" w:rsidRDefault="00F34EAD" w:rsidP="00F34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</w:t>
      </w:r>
      <w:proofErr w:type="spellEnd"/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повинен містити </w:t>
      </w: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схему всіх проходок через захищену оболонку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15. Інфраструктура для телекомунікаційних вводів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Конкретні канали зв'язку та мережеву архітектуру ПЦС визначатиме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ТЗ №2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межах цього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необхідно забезпечити:</w:t>
      </w:r>
    </w:p>
    <w:p w:rsidR="00F34EAD" w:rsidRPr="00F34EAD" w:rsidRDefault="00F34EAD" w:rsidP="00F34EA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окремих телекомунікаційних вводів; </w:t>
      </w:r>
    </w:p>
    <w:p w:rsidR="00F34EAD" w:rsidRPr="00F34EAD" w:rsidRDefault="00F34EAD" w:rsidP="00F34EA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захищені кабельні траси; </w:t>
      </w:r>
    </w:p>
    <w:p w:rsidR="00F34EAD" w:rsidRPr="00F34EAD" w:rsidRDefault="00F34EAD" w:rsidP="00F34EA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трасу від місця входу телекомунікацій у будівлю до захищеної оболонки; </w:t>
      </w:r>
    </w:p>
    <w:p w:rsidR="00F34EAD" w:rsidRPr="00F34EAD" w:rsidRDefault="00F34EAD" w:rsidP="00F34EA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необхідні кабельні проходки до серверного приміщення. 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ДСТУ/анкета вимагає захистити всі кабелі зв'язку між місцем входу в будівлю та оболонкою ПЦС від </w:t>
      </w: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фізичних та вогневих пошкоджень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Тому цей захист </w:t>
      </w:r>
      <w:r w:rsidRPr="00F34EAD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залишається предметом ТЗ №1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 хоча самі канали зв'язку — предмет ТЗ №2.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16. Основне електроживлення ПЦС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Розробити окрему схему електропостачання ПЦС.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урахуванням того, що існуючий загальний щит напівпідвальних приміщень перебуває у спільному доступі, передбачити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окрему виділену лінію живлення ПЦС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, організовану таким чином, щоб мінімізувати ризик її несанкціонованого відключення або пошкодження.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Передбачити:</w:t>
      </w:r>
    </w:p>
    <w:p w:rsidR="00F34EAD" w:rsidRPr="00F34EAD" w:rsidRDefault="00F34EAD" w:rsidP="00F34EA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захищене прокладання виділеної лінії; </w:t>
      </w:r>
    </w:p>
    <w:p w:rsidR="00F34EAD" w:rsidRPr="00F34EAD" w:rsidRDefault="00F34EAD" w:rsidP="00F34EA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окремий розподільний щит ПЦС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 межах захищеної оболонки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окремі групи критичного та некритичного навантаження; </w:t>
      </w:r>
    </w:p>
    <w:p w:rsidR="00F34EAD" w:rsidRPr="00F34EAD" w:rsidRDefault="00F34EAD" w:rsidP="00F34EA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необхідні апарати захисту; </w:t>
      </w:r>
    </w:p>
    <w:p w:rsidR="00F34EAD" w:rsidRPr="00F34EAD" w:rsidRDefault="00F34EAD" w:rsidP="00F34EA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резерв потужності для подальшого технологічного оснащення. </w:t>
      </w:r>
    </w:p>
    <w:p w:rsidR="009643B7" w:rsidRDefault="009643B7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val="uk-UA"/>
        </w:rPr>
        <w:t>Остаточне навантаження надається Замовником після визначення складу технологічного обладнання.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17. Резервне електроживлення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Будівельною та електротехнічною частиною передбачити інфраструктуру для: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СБЕЖ (UPS); 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акумуляторних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батарей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АВР; 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резервного генератора; 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автоматичного запуску генератора; </w:t>
      </w:r>
    </w:p>
    <w:p w:rsidR="00F34EAD" w:rsidRP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автоматичного перемикання джерел; </w:t>
      </w:r>
    </w:p>
    <w:p w:rsidR="00F34EAD" w:rsidRDefault="00F34EAD" w:rsidP="00F34EA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захищеної кабельної лінії від генератора до ПЦС. </w:t>
      </w:r>
    </w:p>
    <w:p w:rsidR="00F64680" w:rsidRPr="00F64680" w:rsidRDefault="00F64680" w:rsidP="00F6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64680">
        <w:rPr>
          <w:rFonts w:ascii="Times New Roman" w:hAnsi="Times New Roman" w:cs="Times New Roman"/>
          <w:sz w:val="28"/>
          <w:szCs w:val="28"/>
          <w:lang w:val="uk-UA"/>
        </w:rPr>
        <w:t xml:space="preserve">СБЕЖ (UPS) з акумуляторними </w:t>
      </w:r>
      <w:proofErr w:type="spellStart"/>
      <w:r w:rsidRPr="00F64680">
        <w:rPr>
          <w:rFonts w:ascii="Times New Roman" w:hAnsi="Times New Roman" w:cs="Times New Roman"/>
          <w:sz w:val="28"/>
          <w:szCs w:val="28"/>
          <w:lang w:val="uk-UA"/>
        </w:rPr>
        <w:t>батареями</w:t>
      </w:r>
      <w:proofErr w:type="spellEnd"/>
      <w:r w:rsidRPr="00F64680">
        <w:rPr>
          <w:rFonts w:ascii="Times New Roman" w:hAnsi="Times New Roman" w:cs="Times New Roman"/>
          <w:sz w:val="28"/>
          <w:szCs w:val="28"/>
          <w:lang w:val="uk-UA"/>
        </w:rPr>
        <w:t xml:space="preserve"> повинна забезпечувати безперервне живлення критичного обладнання ПЦС протягом періоду від зникнення основного електроживлення до запуску та підключення резервного генератора, але не менше 10 хвилин.</w:t>
      </w:r>
    </w:p>
    <w:p w:rsidR="009643B7" w:rsidRPr="00F64680" w:rsidRDefault="009643B7" w:rsidP="00F6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E78AC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val="uk-UA"/>
        </w:rPr>
        <w:t>Потужність систем визначити після отримання від Замовника переліку критичного обладнання.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Розташування обладнання повинно забезпечувати можливість його безпечної експлуатації та технічного обслуговування.</w:t>
      </w:r>
    </w:p>
    <w:p w:rsidR="007B0B29" w:rsidRPr="00F34EAD" w:rsidRDefault="007B0B29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18. Генератор</w:t>
      </w:r>
    </w:p>
    <w:p w:rsidR="00E22D5E" w:rsidRPr="00E22D5E" w:rsidRDefault="00E22D5E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складі системи резервного електроживлення ПЦС </w:t>
      </w:r>
      <w:r w:rsidRPr="00E22D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передбачити резервний генератор</w:t>
      </w: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його підключення до системи електроживлення ПЦС.</w:t>
      </w:r>
    </w:p>
    <w:p w:rsidR="00E22D5E" w:rsidRPr="00E22D5E" w:rsidRDefault="00E22D5E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передбачити: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автоматичний запуск генератора</w:t>
      </w: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разі відмови мережевого електроживлення;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автоматичне підключення генератора до системи електроживлення ПЦС через відповідну систему перемикання/АВР;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індикацію роботи генератора всередині ПЦС</w:t>
      </w: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заряджання стартової акумуляторної батареї генератора від мережевого електроживлення;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запас палива, достатній для роботи генератора щонайменше протягом 24 годин</w:t>
      </w: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визначення необхідної потужності генератора відповідно до розрахункового навантаження ПЦС;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захищене прокладання силової кабельної лінії від генератора до ПЦС;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належне заземлення генераторної установки; </w:t>
      </w:r>
    </w:p>
    <w:p w:rsidR="00E22D5E" w:rsidRPr="00E22D5E" w:rsidRDefault="00E22D5E" w:rsidP="00E22D5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щодо вентиляції, відведення вихлопних газів, пожежної безпеки, доступу для заправлення та технічного обслуговування. </w:t>
      </w:r>
    </w:p>
    <w:p w:rsidR="00E22D5E" w:rsidRDefault="00E22D5E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 разі розміщення генератора за межами захищеної оболонки ПЦС</w:t>
      </w: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передбачити його розміщення в контрольованій зоні з обмеженим доступом та створити необхідну інфраструктуру для обладнання цієї зони засобами охоронної/пожежної сигналізації, контролю доступу та відеоспостереження з можливістю контролю операторами ПЦС.</w:t>
      </w:r>
    </w:p>
    <w:p w:rsidR="00E22D5E" w:rsidRPr="00E22D5E" w:rsidRDefault="00E22D5E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2D5E" w:rsidRPr="00E22D5E" w:rsidRDefault="00E22D5E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Конкретні СОС, СПС, СКД і СВС цієї зони визначаються та реалізуються </w:t>
      </w:r>
      <w:r w:rsidRPr="00E22D5E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за ТЗ №2</w:t>
      </w:r>
      <w:r w:rsidRPr="00E22D5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 але необхідні будівельні рішення, кабельні траси, електроживлення та місця встановлення обладнання повинні бути передбачені в рамках ТЗ №1.</w:t>
      </w:r>
    </w:p>
    <w:p w:rsidR="00F34EAD" w:rsidRPr="00E22D5E" w:rsidRDefault="00F34EAD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E22D5E" w:rsidRDefault="00F34EAD" w:rsidP="00E22D5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19. Заземлення, зрівнювання потенціалів і перенапруги</w:t>
      </w:r>
    </w:p>
    <w:p w:rsidR="00F34EAD" w:rsidRPr="00E22D5E" w:rsidRDefault="00F34EAD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Розробити рішення щодо:</w:t>
      </w:r>
    </w:p>
    <w:p w:rsidR="00F34EAD" w:rsidRPr="00E22D5E" w:rsidRDefault="00F34EAD" w:rsidP="00E22D5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22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захисного заземлення; </w:t>
      </w:r>
    </w:p>
    <w:p w:rsidR="00F34EAD" w:rsidRPr="00F34EAD" w:rsidRDefault="00F34EAD" w:rsidP="00E22D5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зрівнювання потенціалів; </w:t>
      </w:r>
    </w:p>
    <w:p w:rsidR="00F34EAD" w:rsidRPr="00F34EAD" w:rsidRDefault="00F34EAD" w:rsidP="00E22D5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заземлення технологічного обладнання; </w:t>
      </w:r>
    </w:p>
    <w:p w:rsidR="00F34EAD" w:rsidRPr="00F34EAD" w:rsidRDefault="00F34EAD" w:rsidP="00E22D5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захисту силових ліній від імпульсних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перенапруг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E22D5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захисту телекомунікаційних вводів від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перенапруг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 необхідні точки підключення для обладнання, яке буде встановлено в рамках ТЗ №2.</w:t>
      </w:r>
    </w:p>
    <w:p w:rsidR="00F34EAD" w:rsidRPr="00F34EAD" w:rsidRDefault="00F34EAD" w:rsidP="00E22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20. Захист від дії блискавки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Виконати аналіз ризику відповідно до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EN 62305-2 або застосовних національних правил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 його результатами визначити необхідні заходи захисту ПЦС від дії блискавки.</w:t>
      </w:r>
    </w:p>
    <w:p w:rsidR="009643B7" w:rsidRPr="00F34EAD" w:rsidRDefault="009643B7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Це є прямою вимогою п. 5.6 ДСТУ EN 50518:2019.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21. Серверне/технологічне приміщення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Передбачити окреме серверне/технологічне приміщення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 межах захищеної оболонки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Будівельна та інженерна частина повинна забезпечити можливість розміщення: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серверної/телекомунікаційної шафи; 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серверів; 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мережевого обладнання; 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обладнання зв'язку; 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комутаційного обладнання; </w:t>
      </w:r>
    </w:p>
    <w:p w:rsidR="00F34EAD" w:rsidRPr="00F34EAD" w:rsidRDefault="00F34EAD" w:rsidP="00F34EA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іншого критичного обладнання ПЦС.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Анкета ОС прямо передбачає розміщення всередині оболонки серверів, обладнання запису, маршрутизаторів, комутаторів,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патч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-панелей, обладнання зв'язку та внутрішньої точки LAN/WAN.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Передбачити: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електроживлення; 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резервне електроживлення; 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заземлення; 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кабельні вводи; 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необхідне охолодження; </w:t>
      </w:r>
    </w:p>
    <w:p w:rsidR="00F34EAD" w:rsidRPr="00F34EAD" w:rsidRDefault="00F34EAD" w:rsidP="00F34EA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подальшого встановлення контролю доступу.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22. Санітарно-побутові умови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 межах захищеної оболонки передбачити:</w:t>
      </w:r>
    </w:p>
    <w:p w:rsidR="00F34EAD" w:rsidRPr="00F34EAD" w:rsidRDefault="00F34EAD" w:rsidP="00F34EA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туалет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мийні зручності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пряма вимога для ПЦС категорії I. </w:t>
      </w:r>
    </w:p>
    <w:p w:rsidR="009643B7" w:rsidRDefault="009643B7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Кімната приймання їжі та інші адміністративно-побутові приміщення можуть знаходитися </w:t>
      </w:r>
      <w:r w:rsidRPr="009643B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поза захищеною оболонкою</w:t>
      </w:r>
      <w:r w:rsidRPr="00F34E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23. Інфраструктура для систем безпеки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Проєктування</w:t>
      </w:r>
      <w:proofErr w:type="spellEnd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самих СОС, СПС, СКД, СВС, системи виявлення газу та пристроїв нападу не входить до предмета цього ТЗ.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Водночас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проєктант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повинен забезпечити можливість їх подальшого монтажу відповідно до окремого ТЗ №2.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Для цього передбачити: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кабельні траси; 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закладні; 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кабельні проходки; 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електроживлення; 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необхідні місця для встановлення обладнання; </w:t>
      </w:r>
    </w:p>
    <w:p w:rsidR="00F34EAD" w:rsidRPr="00F34EAD" w:rsidRDefault="00F34EAD" w:rsidP="00F34EA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монтажу обладнання на вході, в тамбурі, біля аварійного виходу, вентиляційних отворів та інших контрольованих ділянках.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важливе розмежування: анкета ОС виносить обладнання ПЦС СОС, СПС, СКД, СВС та системою виявлення газу в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окрему схему — Додаток №2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24. Планування операторської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будівельній частині передбачити операторське приміщення орієнтовною площею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 м²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Приміщення повинно забезпечувати можливість розміщення до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5 автоматизованих робочих місць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Проєктант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повинен врахувати: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габаритні зони майбутніх робочих місць; 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проходи; 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напрямки відкривання дверей; 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вентиляцію та кондиціонування; 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розташування силових і слабкострумових трас; </w:t>
      </w:r>
    </w:p>
    <w:p w:rsidR="00F34EAD" w:rsidRPr="00F34EAD" w:rsidRDefault="00F34EAD" w:rsidP="00F34EA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подальшого монтажу необхідної кількості розеток та мережевих точок. </w:t>
      </w:r>
    </w:p>
    <w:p w:rsidR="009643B7" w:rsidRDefault="009643B7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643B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Конкретна конфігурація столів, моніторів, робочих станцій та технологічного обладнання визначатиметься Замовником окремо.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25. Координація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проєктних</w:t>
      </w:r>
      <w:proofErr w:type="spellEnd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рішень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Проєктувальник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повинен забезпечити взаємну узгодженість: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архітектурних рішень;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конструктивних рішень;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технічної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укріпленості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вентиляції та кондиціонування;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електропостачання;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резервного електроживлення;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заземлення;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блискавкозахисту;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силових і слабкострумових трас; </w:t>
      </w:r>
    </w:p>
    <w:p w:rsidR="00F34EAD" w:rsidRPr="00F34EAD" w:rsidRDefault="00F34EAD" w:rsidP="00F34EA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кабельних і трубних проходок. </w:t>
      </w:r>
    </w:p>
    <w:p w:rsidR="009643B7" w:rsidRDefault="009643B7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Жодна інженерна система не повинна порушувати цілісність або необхідні характеристики захищеної оболонки ПЦС.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26. Склад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проєктної</w:t>
      </w:r>
      <w:proofErr w:type="spellEnd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документації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результатами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Замовнику надати щонайменше: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пояснювальну записку;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матеріали обстеження існуючих конструкцій;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обмірний план;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поверховий план із розташуванням ПЦС;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існуючого стану;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демонтажу;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перепланування/монтажу;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із чітко визначеною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межею захищеної оболонки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конструктивні рішення стін, підлоги та стелі;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щодо посилення конструкцій;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креслення тамбур-шлюзу;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креслення та специфікацію захисних дверей;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аварійного виходу;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щодо вікон/засклених ділянок;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схему всіх отворів та проходок через оболонку;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вентиляції та кондиціонування;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схему електропостачання;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однолінійну електричну схему;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щодо СБЕЖ, АКБ, АВР та генератора;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трасу кабелю генератора;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щодо заземлення та захисту від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перенапруг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результати/рішення щодо блискавкозахисту;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силових кабельних трас;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трас для слабкострумових мереж; </w:t>
      </w:r>
    </w:p>
    <w:p w:rsidR="00F34EAD" w:rsidRP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план серверного/технологічного приміщення; </w:t>
      </w:r>
    </w:p>
    <w:p w:rsidR="00F34EAD" w:rsidRDefault="00F34EAD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специфікацію основних будівельних конструкцій, матеріалів та обладнання. </w:t>
      </w:r>
    </w:p>
    <w:p w:rsidR="000B043B" w:rsidRPr="000B043B" w:rsidRDefault="000B043B" w:rsidP="00F34EA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конструктивне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креслення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передавального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люка/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жолоба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зазначенням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043B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B043B">
        <w:rPr>
          <w:rFonts w:ascii="Times New Roman" w:hAnsi="Times New Roman" w:cs="Times New Roman"/>
          <w:sz w:val="28"/>
          <w:szCs w:val="28"/>
        </w:rPr>
        <w:t>RC</w:t>
      </w:r>
      <w:r w:rsidRPr="000B043B">
        <w:rPr>
          <w:rFonts w:ascii="Times New Roman" w:hAnsi="Times New Roman" w:cs="Times New Roman"/>
          <w:sz w:val="28"/>
          <w:szCs w:val="28"/>
          <w:lang w:val="ru-RU"/>
        </w:rPr>
        <w:t xml:space="preserve">3 та </w:t>
      </w:r>
      <w:r w:rsidRPr="000B043B">
        <w:rPr>
          <w:rFonts w:ascii="Times New Roman" w:hAnsi="Times New Roman" w:cs="Times New Roman"/>
          <w:sz w:val="28"/>
          <w:szCs w:val="28"/>
        </w:rPr>
        <w:t>FB</w:t>
      </w:r>
      <w:r w:rsidRPr="000B04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22D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27. Вимоги до підтвердження технічної </w:t>
      </w:r>
      <w:proofErr w:type="spellStart"/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укріпленості</w:t>
      </w:r>
      <w:proofErr w:type="spellEnd"/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проєктній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документації повинні бути однозначно зазначені нормативні характеристики конструкцій і виробів, які мають значення для підтвердження відповідності ПЦС, зокрема: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RC3, FB3, P5A, BR3-S, межі вогнестійкості, матеріали та товщини конструкцій оболонки тощо.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конструкцій, дверей, скління та інших виробів, для яких відповідність визначеному класу не може бути встановлена лише візуально, Виконавець повинен передбачати застосування виробів, для яких можливо отримати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належні документи про підтвердження заявлених характеристик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Це критично, оскільки орган сертифікації вимагає не просто поставити «міцні двері», а підтвердити конкретні характеристики технічного стану ПЦС документами.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28. Виконавча документація після завершення робіт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результатами виконання робіт повинна бути сформована виконавча документація, яка дозволяє встановити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що фактично побудовано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, зокрема: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фактичне планування;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фактичні конструкції оболонки;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матеріали та товщини;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встановлені дверні конструкції;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виконані проходки;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фактичні кабельні траси;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фактичне електроживлення;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вентиляцію; </w:t>
      </w:r>
    </w:p>
    <w:p w:rsidR="00F34EAD" w:rsidRPr="00F34EAD" w:rsidRDefault="00F34EAD" w:rsidP="00F34EA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приховані роботи.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приховані роботи, характеристики яких неможливо буде перевірити після завершення оздоблення, повинна формуватися відповідна документація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 їх закриття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29. Відхилення від ТЗ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будь-яку вимогу неможливо реалізувати через існуючі конструкції будівлі, Виконавець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 має самостійно виключати або спрощувати її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Необхідно:</w:t>
      </w:r>
    </w:p>
    <w:p w:rsidR="00F34EAD" w:rsidRPr="00F34EAD" w:rsidRDefault="00F34EAD" w:rsidP="00F34EA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повідомити Замовника; </w:t>
      </w:r>
    </w:p>
    <w:p w:rsidR="00F34EAD" w:rsidRPr="00F34EAD" w:rsidRDefault="00F34EAD" w:rsidP="00F34EA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обґрунтувати технічну проблему; </w:t>
      </w:r>
    </w:p>
    <w:p w:rsidR="00F34EAD" w:rsidRPr="00F34EAD" w:rsidRDefault="00F34EAD" w:rsidP="00F34EA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запропонувати альтернативне рішення; </w:t>
      </w:r>
    </w:p>
    <w:p w:rsidR="00F34EAD" w:rsidRPr="00F34EAD" w:rsidRDefault="00F34EAD" w:rsidP="00F34EA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зазначити його відповідність нормативним вимогам; </w:t>
      </w:r>
    </w:p>
    <w:p w:rsidR="00F34EAD" w:rsidRPr="00F34EAD" w:rsidRDefault="00F34EAD" w:rsidP="00F34EA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отримати погодження Замовника </w:t>
      </w:r>
      <w:r w:rsidRPr="009643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 виконання відповідних робіт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30. Межі відповідальності за цим ТЗ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 ТЗ №1 входять:</w:t>
      </w:r>
    </w:p>
    <w:p w:rsid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будівельні конструкції → технічна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укріпленість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→ тамбур → двері → вікна → аварійний вихід → вентиляція/кондиціонування → проходки → електроживлення → резервне живлення → генератор → заземлення → блискавкозахист → інженерні та кабельні траси → створення фізичної інфраструктури для технологічного оснащення.</w:t>
      </w:r>
    </w:p>
    <w:p w:rsidR="00627C78" w:rsidRPr="00F34EAD" w:rsidRDefault="00627C78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 ТЗ №1 не входять і виконуються за окремим ТЗ №2: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СОС → СПС → СКД → СВС → система виявлення газу → кнопки нападу → конкретна система контролю дверей → серверне та мережеве обладнання → архітектура технологічної мережі → канали зв'язку → телефонія → робочі станції →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Phoenix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HD та інше програмне забезпечення → технологічні алгоритми ПЦС.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При цьому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ТЗ №1 повинно забезпечити фізичну можливість реалізації всіх рішень ТЗ №2 без повторного втручання в захищену оболонку та виконані будівельні конструкції.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4EAD" w:rsidRPr="00F34EAD" w:rsidRDefault="00F34EAD" w:rsidP="00F34EA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Ключовий результат ТЗ №1</w:t>
      </w:r>
    </w:p>
    <w:p w:rsidR="00F34EAD" w:rsidRPr="00F34EAD" w:rsidRDefault="00F34EAD" w:rsidP="00F34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завершення </w:t>
      </w:r>
      <w:proofErr w:type="spellStart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будівельних робіт ми повинні мати не просто </w:t>
      </w:r>
      <w:r w:rsidRPr="00F34E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«відремонтоване приміщення»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документально підтверджену </w:t>
      </w:r>
      <w:r w:rsidRPr="00627C7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захищену будівельно-інженерну оболонку ПЦС категорії I</w:t>
      </w:r>
      <w:r w:rsidRPr="00F34EAD">
        <w:rPr>
          <w:rFonts w:ascii="Times New Roman" w:eastAsia="Times New Roman" w:hAnsi="Times New Roman" w:cs="Times New Roman"/>
          <w:sz w:val="28"/>
          <w:szCs w:val="28"/>
          <w:lang w:val="uk-UA"/>
        </w:rPr>
        <w:t>, у яку вже можна встановлювати нашу технологічну частину за ТЗ №2.</w:t>
      </w:r>
    </w:p>
    <w:sectPr w:rsidR="00F34EAD" w:rsidRPr="00F34EAD" w:rsidSect="00F34EAD">
      <w:footerReference w:type="default" r:id="rId7"/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42" w:rsidRDefault="00547F42" w:rsidP="00F34EAD">
      <w:pPr>
        <w:spacing w:after="0" w:line="240" w:lineRule="auto"/>
      </w:pPr>
      <w:r>
        <w:separator/>
      </w:r>
    </w:p>
  </w:endnote>
  <w:endnote w:type="continuationSeparator" w:id="0">
    <w:p w:rsidR="00547F42" w:rsidRDefault="00547F42" w:rsidP="00F3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684413"/>
      <w:docPartObj>
        <w:docPartGallery w:val="Page Numbers (Bottom of Page)"/>
        <w:docPartUnique/>
      </w:docPartObj>
    </w:sdtPr>
    <w:sdtEndPr/>
    <w:sdtContent>
      <w:p w:rsidR="00F34EAD" w:rsidRDefault="00F34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371" w:rsidRPr="00154371">
          <w:rPr>
            <w:noProof/>
            <w:lang w:val="uk-UA"/>
          </w:rPr>
          <w:t>2</w:t>
        </w:r>
        <w:r>
          <w:fldChar w:fldCharType="end"/>
        </w:r>
      </w:p>
    </w:sdtContent>
  </w:sdt>
  <w:p w:rsidR="00F34EAD" w:rsidRDefault="00F34E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42" w:rsidRDefault="00547F42" w:rsidP="00F34EAD">
      <w:pPr>
        <w:spacing w:after="0" w:line="240" w:lineRule="auto"/>
      </w:pPr>
      <w:r>
        <w:separator/>
      </w:r>
    </w:p>
  </w:footnote>
  <w:footnote w:type="continuationSeparator" w:id="0">
    <w:p w:rsidR="00547F42" w:rsidRDefault="00547F42" w:rsidP="00F34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126"/>
    <w:multiLevelType w:val="multilevel"/>
    <w:tmpl w:val="643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A6E33"/>
    <w:multiLevelType w:val="multilevel"/>
    <w:tmpl w:val="BA72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33CD9"/>
    <w:multiLevelType w:val="multilevel"/>
    <w:tmpl w:val="1FB2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53EF4"/>
    <w:multiLevelType w:val="multilevel"/>
    <w:tmpl w:val="9EAA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E665A"/>
    <w:multiLevelType w:val="multilevel"/>
    <w:tmpl w:val="9272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61F76"/>
    <w:multiLevelType w:val="multilevel"/>
    <w:tmpl w:val="6D7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F0848"/>
    <w:multiLevelType w:val="multilevel"/>
    <w:tmpl w:val="B3BA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A5A18"/>
    <w:multiLevelType w:val="multilevel"/>
    <w:tmpl w:val="13A6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03D41"/>
    <w:multiLevelType w:val="multilevel"/>
    <w:tmpl w:val="4E4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E25EA"/>
    <w:multiLevelType w:val="multilevel"/>
    <w:tmpl w:val="8BA0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B341C"/>
    <w:multiLevelType w:val="multilevel"/>
    <w:tmpl w:val="AB82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7204E1"/>
    <w:multiLevelType w:val="multilevel"/>
    <w:tmpl w:val="C56E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9B7E7E"/>
    <w:multiLevelType w:val="multilevel"/>
    <w:tmpl w:val="E164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54034"/>
    <w:multiLevelType w:val="multilevel"/>
    <w:tmpl w:val="9D4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72DD5"/>
    <w:multiLevelType w:val="multilevel"/>
    <w:tmpl w:val="EEDC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91A20"/>
    <w:multiLevelType w:val="multilevel"/>
    <w:tmpl w:val="F50C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9B18BE"/>
    <w:multiLevelType w:val="multilevel"/>
    <w:tmpl w:val="DC4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F7377"/>
    <w:multiLevelType w:val="multilevel"/>
    <w:tmpl w:val="D92A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95ABB"/>
    <w:multiLevelType w:val="multilevel"/>
    <w:tmpl w:val="DE30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3247E9"/>
    <w:multiLevelType w:val="multilevel"/>
    <w:tmpl w:val="F1E8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1F3A0A"/>
    <w:multiLevelType w:val="multilevel"/>
    <w:tmpl w:val="883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0A58F6"/>
    <w:multiLevelType w:val="multilevel"/>
    <w:tmpl w:val="47B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D569F1"/>
    <w:multiLevelType w:val="multilevel"/>
    <w:tmpl w:val="1B12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1D49D9"/>
    <w:multiLevelType w:val="multilevel"/>
    <w:tmpl w:val="AB2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9B4371"/>
    <w:multiLevelType w:val="multilevel"/>
    <w:tmpl w:val="EFCA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3602B"/>
    <w:multiLevelType w:val="multilevel"/>
    <w:tmpl w:val="35C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8048B4"/>
    <w:multiLevelType w:val="multilevel"/>
    <w:tmpl w:val="BEAA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E6D98"/>
    <w:multiLevelType w:val="multilevel"/>
    <w:tmpl w:val="4D80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F01EDB"/>
    <w:multiLevelType w:val="multilevel"/>
    <w:tmpl w:val="F298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C1EA3"/>
    <w:multiLevelType w:val="multilevel"/>
    <w:tmpl w:val="0ED2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BC76E8"/>
    <w:multiLevelType w:val="multilevel"/>
    <w:tmpl w:val="DA12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64D2E"/>
    <w:multiLevelType w:val="multilevel"/>
    <w:tmpl w:val="627A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1"/>
  </w:num>
  <w:num w:numId="5">
    <w:abstractNumId w:val="22"/>
  </w:num>
  <w:num w:numId="6">
    <w:abstractNumId w:val="15"/>
  </w:num>
  <w:num w:numId="7">
    <w:abstractNumId w:val="6"/>
  </w:num>
  <w:num w:numId="8">
    <w:abstractNumId w:val="19"/>
  </w:num>
  <w:num w:numId="9">
    <w:abstractNumId w:val="3"/>
  </w:num>
  <w:num w:numId="10">
    <w:abstractNumId w:val="16"/>
  </w:num>
  <w:num w:numId="11">
    <w:abstractNumId w:val="7"/>
  </w:num>
  <w:num w:numId="12">
    <w:abstractNumId w:val="12"/>
  </w:num>
  <w:num w:numId="13">
    <w:abstractNumId w:val="27"/>
  </w:num>
  <w:num w:numId="14">
    <w:abstractNumId w:val="30"/>
  </w:num>
  <w:num w:numId="15">
    <w:abstractNumId w:val="11"/>
  </w:num>
  <w:num w:numId="16">
    <w:abstractNumId w:val="9"/>
  </w:num>
  <w:num w:numId="17">
    <w:abstractNumId w:val="29"/>
  </w:num>
  <w:num w:numId="18">
    <w:abstractNumId w:val="8"/>
  </w:num>
  <w:num w:numId="19">
    <w:abstractNumId w:val="20"/>
  </w:num>
  <w:num w:numId="20">
    <w:abstractNumId w:val="18"/>
  </w:num>
  <w:num w:numId="21">
    <w:abstractNumId w:val="2"/>
  </w:num>
  <w:num w:numId="22">
    <w:abstractNumId w:val="13"/>
  </w:num>
  <w:num w:numId="23">
    <w:abstractNumId w:val="14"/>
  </w:num>
  <w:num w:numId="24">
    <w:abstractNumId w:val="26"/>
  </w:num>
  <w:num w:numId="25">
    <w:abstractNumId w:val="23"/>
  </w:num>
  <w:num w:numId="26">
    <w:abstractNumId w:val="4"/>
  </w:num>
  <w:num w:numId="27">
    <w:abstractNumId w:val="21"/>
  </w:num>
  <w:num w:numId="28">
    <w:abstractNumId w:val="17"/>
  </w:num>
  <w:num w:numId="29">
    <w:abstractNumId w:val="25"/>
  </w:num>
  <w:num w:numId="30">
    <w:abstractNumId w:val="10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AD"/>
    <w:rsid w:val="000B043B"/>
    <w:rsid w:val="00154371"/>
    <w:rsid w:val="003B6FEA"/>
    <w:rsid w:val="00547F42"/>
    <w:rsid w:val="00627C78"/>
    <w:rsid w:val="007B0B29"/>
    <w:rsid w:val="009643B7"/>
    <w:rsid w:val="00B05972"/>
    <w:rsid w:val="00DE78AC"/>
    <w:rsid w:val="00E22D5E"/>
    <w:rsid w:val="00E6632E"/>
    <w:rsid w:val="00F34EAD"/>
    <w:rsid w:val="00F51CBF"/>
    <w:rsid w:val="00F6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6CF4C"/>
  <w15:chartTrackingRefBased/>
  <w15:docId w15:val="{4D201AF5-29F8-48D7-A0C1-DB136306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4E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4E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E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4E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4E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4EAD"/>
    <w:rPr>
      <w:b/>
      <w:bCs/>
    </w:rPr>
  </w:style>
  <w:style w:type="paragraph" w:styleId="a5">
    <w:name w:val="header"/>
    <w:basedOn w:val="a"/>
    <w:link w:val="a6"/>
    <w:uiPriority w:val="99"/>
    <w:unhideWhenUsed/>
    <w:rsid w:val="00F34E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34EAD"/>
  </w:style>
  <w:style w:type="paragraph" w:styleId="a7">
    <w:name w:val="footer"/>
    <w:basedOn w:val="a"/>
    <w:link w:val="a8"/>
    <w:uiPriority w:val="99"/>
    <w:unhideWhenUsed/>
    <w:rsid w:val="00F34E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34EAD"/>
  </w:style>
  <w:style w:type="paragraph" w:customStyle="1" w:styleId="pdq2pgselectionanchorcontainer">
    <w:name w:val="pdq2pg_selectionanchorcontainer"/>
    <w:basedOn w:val="a"/>
    <w:rsid w:val="007B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09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omondarin@gmail.com</dc:creator>
  <cp:keywords/>
  <dc:description/>
  <cp:lastModifiedBy>omondarin@gmail.com</cp:lastModifiedBy>
  <cp:revision>9</cp:revision>
  <dcterms:created xsi:type="dcterms:W3CDTF">2026-08-09T11:52:00Z</dcterms:created>
  <dcterms:modified xsi:type="dcterms:W3CDTF">2026-08-09T12:27:00Z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29b93b85-802b-40a7-9e97-b6de5cdd93c3</vt:lpwstr>
  </property>
</Properties>
</file>